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78D37CA0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533E58">
        <w:rPr>
          <w:rFonts w:ascii="Arial" w:hAnsi="Arial" w:cs="Arial"/>
          <w:sz w:val="28"/>
          <w:szCs w:val="28"/>
        </w:rPr>
        <w:t>9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5315326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</w:t>
      </w:r>
      <w:r w:rsidR="009718FB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0EA27148" w14:textId="3F976481" w:rsidR="00DD2A86" w:rsidRDefault="00DD2A86" w:rsidP="00DD2A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contabilidade, o CRCMG preserva a sua privacidade e seus dados pessoais! Por isso, desenvolveu um sistema para que você possa registrar o seu consentimento para receber e-mails sobre eventos, cursos e informativos </w:t>
      </w:r>
      <w:r w:rsidR="00247179">
        <w:rPr>
          <w:rFonts w:ascii="Arial" w:hAnsi="Arial" w:cs="Arial"/>
          <w:sz w:val="28"/>
          <w:szCs w:val="28"/>
        </w:rPr>
        <w:t>institucionais</w:t>
      </w:r>
      <w:r w:rsidR="00BC24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37AD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ssim</w:t>
      </w:r>
      <w:r w:rsidR="00337ADD">
        <w:rPr>
          <w:rFonts w:ascii="Arial" w:hAnsi="Arial" w:cs="Arial"/>
          <w:sz w:val="28"/>
          <w:szCs w:val="28"/>
        </w:rPr>
        <w:t>,</w:t>
      </w:r>
      <w:r w:rsidR="00247179">
        <w:rPr>
          <w:rFonts w:ascii="Arial" w:hAnsi="Arial" w:cs="Arial"/>
          <w:sz w:val="28"/>
          <w:szCs w:val="28"/>
        </w:rPr>
        <w:t xml:space="preserve"> o Conselho </w:t>
      </w:r>
      <w:r>
        <w:rPr>
          <w:rFonts w:ascii="Arial" w:hAnsi="Arial" w:cs="Arial"/>
          <w:sz w:val="28"/>
          <w:szCs w:val="28"/>
        </w:rPr>
        <w:t xml:space="preserve">também </w:t>
      </w:r>
      <w:r w:rsidR="00957B60">
        <w:rPr>
          <w:rFonts w:ascii="Arial" w:hAnsi="Arial" w:cs="Arial"/>
          <w:sz w:val="28"/>
          <w:szCs w:val="28"/>
        </w:rPr>
        <w:t>garante a</w:t>
      </w:r>
      <w:r>
        <w:rPr>
          <w:rFonts w:ascii="Arial" w:hAnsi="Arial" w:cs="Arial"/>
          <w:sz w:val="28"/>
          <w:szCs w:val="28"/>
        </w:rPr>
        <w:t xml:space="preserve"> conformidade com a Lei Geral de Proteção de Dados</w:t>
      </w:r>
      <w:r w:rsidR="001079E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1079E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LGPD.</w:t>
      </w:r>
    </w:p>
    <w:p w14:paraId="08E07D60" w14:textId="77777777" w:rsidR="00DD2A86" w:rsidRDefault="00DD2A86" w:rsidP="00DD2A86">
      <w:pPr>
        <w:jc w:val="both"/>
        <w:rPr>
          <w:rFonts w:ascii="Arial" w:hAnsi="Arial" w:cs="Arial"/>
          <w:sz w:val="28"/>
          <w:szCs w:val="28"/>
        </w:rPr>
      </w:pPr>
    </w:p>
    <w:p w14:paraId="2736716A" w14:textId="3AB4724B" w:rsidR="00DD2A86" w:rsidRDefault="00FA2C1E" w:rsidP="00DD2A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DD2A86">
        <w:rPr>
          <w:rFonts w:ascii="Arial" w:hAnsi="Arial" w:cs="Arial"/>
          <w:sz w:val="28"/>
          <w:szCs w:val="28"/>
        </w:rPr>
        <w:t>cesse</w:t>
      </w:r>
      <w:r w:rsidR="00DF47F2">
        <w:rPr>
          <w:rFonts w:ascii="Arial" w:hAnsi="Arial" w:cs="Arial"/>
          <w:sz w:val="28"/>
          <w:szCs w:val="28"/>
        </w:rPr>
        <w:t xml:space="preserve"> o </w:t>
      </w:r>
      <w:r w:rsidR="00337ADD">
        <w:rPr>
          <w:rFonts w:ascii="Arial" w:hAnsi="Arial" w:cs="Arial"/>
          <w:sz w:val="28"/>
          <w:szCs w:val="28"/>
        </w:rPr>
        <w:t>endereço</w:t>
      </w:r>
      <w:r w:rsidR="00DD2A86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DD2A86">
          <w:rPr>
            <w:rStyle w:val="Hyperlink"/>
            <w:rFonts w:ascii="Arial" w:hAnsi="Arial" w:cs="Arial"/>
            <w:sz w:val="28"/>
            <w:szCs w:val="28"/>
          </w:rPr>
          <w:t>crcmg.org.br/informativo</w:t>
        </w:r>
      </w:hyperlink>
      <w:r w:rsidR="00DD2A86">
        <w:rPr>
          <w:rFonts w:ascii="Arial" w:hAnsi="Arial" w:cs="Arial"/>
          <w:sz w:val="28"/>
          <w:szCs w:val="28"/>
        </w:rPr>
        <w:t xml:space="preserve"> e registre seu consentimento para receber as comunicações do Conselho</w:t>
      </w:r>
      <w:r>
        <w:rPr>
          <w:rFonts w:ascii="Arial" w:hAnsi="Arial" w:cs="Arial"/>
          <w:sz w:val="28"/>
          <w:szCs w:val="28"/>
        </w:rPr>
        <w:t>!</w:t>
      </w:r>
      <w:r w:rsidR="00DD2A86">
        <w:rPr>
          <w:rFonts w:ascii="Arial" w:hAnsi="Arial" w:cs="Arial"/>
          <w:sz w:val="28"/>
          <w:szCs w:val="28"/>
        </w:rPr>
        <w:t xml:space="preserve"> Compartilhe essa informação com seus amigos profissionais da contabilidade</w:t>
      </w:r>
      <w:r w:rsidR="00337ADD">
        <w:rPr>
          <w:rFonts w:ascii="Arial" w:hAnsi="Arial" w:cs="Arial"/>
          <w:sz w:val="28"/>
          <w:szCs w:val="28"/>
        </w:rPr>
        <w:t>!</w:t>
      </w:r>
      <w:r w:rsidR="00DD2A86">
        <w:rPr>
          <w:rFonts w:ascii="Arial" w:hAnsi="Arial" w:cs="Arial"/>
          <w:sz w:val="28"/>
          <w:szCs w:val="28"/>
        </w:rPr>
        <w:t xml:space="preserve"> </w:t>
      </w:r>
      <w:r w:rsidR="00337ADD">
        <w:rPr>
          <w:rFonts w:ascii="Arial" w:hAnsi="Arial" w:cs="Arial"/>
          <w:sz w:val="28"/>
          <w:szCs w:val="28"/>
        </w:rPr>
        <w:t xml:space="preserve">Ao </w:t>
      </w:r>
      <w:r w:rsidR="00DD2A86">
        <w:rPr>
          <w:rFonts w:ascii="Arial" w:hAnsi="Arial" w:cs="Arial"/>
          <w:sz w:val="28"/>
          <w:szCs w:val="28"/>
        </w:rPr>
        <w:t xml:space="preserve">registrar </w:t>
      </w:r>
      <w:r w:rsidR="00337ADD">
        <w:rPr>
          <w:rFonts w:ascii="Arial" w:hAnsi="Arial" w:cs="Arial"/>
          <w:sz w:val="28"/>
          <w:szCs w:val="28"/>
        </w:rPr>
        <w:t xml:space="preserve">seu </w:t>
      </w:r>
      <w:r w:rsidR="00DD2A86">
        <w:rPr>
          <w:rFonts w:ascii="Arial" w:hAnsi="Arial" w:cs="Arial"/>
          <w:sz w:val="28"/>
          <w:szCs w:val="28"/>
        </w:rPr>
        <w:t>consentimento</w:t>
      </w:r>
      <w:r w:rsidR="00337ADD">
        <w:rPr>
          <w:rFonts w:ascii="Arial" w:hAnsi="Arial" w:cs="Arial"/>
          <w:sz w:val="28"/>
          <w:szCs w:val="28"/>
        </w:rPr>
        <w:t>,</w:t>
      </w:r>
      <w:r w:rsidR="00C3539F">
        <w:rPr>
          <w:rFonts w:ascii="Arial" w:hAnsi="Arial" w:cs="Arial"/>
          <w:sz w:val="28"/>
          <w:szCs w:val="28"/>
        </w:rPr>
        <w:t xml:space="preserve"> </w:t>
      </w:r>
      <w:r w:rsidR="00DA3E92">
        <w:rPr>
          <w:rFonts w:ascii="Arial" w:hAnsi="Arial" w:cs="Arial"/>
          <w:sz w:val="28"/>
          <w:szCs w:val="28"/>
        </w:rPr>
        <w:t>você</w:t>
      </w:r>
      <w:r w:rsidR="00DD2A86">
        <w:rPr>
          <w:rFonts w:ascii="Arial" w:hAnsi="Arial" w:cs="Arial"/>
          <w:sz w:val="28"/>
          <w:szCs w:val="28"/>
        </w:rPr>
        <w:t xml:space="preserve"> </w:t>
      </w:r>
      <w:r w:rsidR="00DA3E92">
        <w:rPr>
          <w:rFonts w:ascii="Arial" w:hAnsi="Arial" w:cs="Arial"/>
          <w:sz w:val="28"/>
          <w:szCs w:val="28"/>
        </w:rPr>
        <w:t xml:space="preserve">se </w:t>
      </w:r>
      <w:r w:rsidR="00DD2A86">
        <w:rPr>
          <w:rFonts w:ascii="Arial" w:hAnsi="Arial" w:cs="Arial"/>
          <w:sz w:val="28"/>
          <w:szCs w:val="28"/>
        </w:rPr>
        <w:t>mant</w:t>
      </w:r>
      <w:r w:rsidR="00DA3E92">
        <w:rPr>
          <w:rFonts w:ascii="Arial" w:hAnsi="Arial" w:cs="Arial"/>
          <w:sz w:val="28"/>
          <w:szCs w:val="28"/>
        </w:rPr>
        <w:t>ém</w:t>
      </w:r>
      <w:r w:rsidR="00DD2A86">
        <w:rPr>
          <w:rFonts w:ascii="Arial" w:hAnsi="Arial" w:cs="Arial"/>
          <w:sz w:val="28"/>
          <w:szCs w:val="28"/>
        </w:rPr>
        <w:t xml:space="preserve"> informado </w:t>
      </w:r>
      <w:r w:rsidR="00BF4C13">
        <w:rPr>
          <w:rFonts w:ascii="Arial" w:hAnsi="Arial" w:cs="Arial"/>
          <w:sz w:val="28"/>
          <w:szCs w:val="28"/>
        </w:rPr>
        <w:t>sobre</w:t>
      </w:r>
      <w:r w:rsidR="00BC245C">
        <w:rPr>
          <w:rFonts w:ascii="Arial" w:hAnsi="Arial" w:cs="Arial"/>
          <w:sz w:val="28"/>
          <w:szCs w:val="28"/>
        </w:rPr>
        <w:t xml:space="preserve"> matérias de interesse para o exercício da profissão contábil e s</w:t>
      </w:r>
      <w:r w:rsidR="00DD2A86">
        <w:rPr>
          <w:rFonts w:ascii="Arial" w:hAnsi="Arial" w:cs="Arial"/>
          <w:sz w:val="28"/>
          <w:szCs w:val="28"/>
        </w:rPr>
        <w:t xml:space="preserve">obre as ações e </w:t>
      </w:r>
      <w:r w:rsidR="00B540BD">
        <w:rPr>
          <w:rFonts w:ascii="Arial" w:hAnsi="Arial" w:cs="Arial"/>
          <w:sz w:val="28"/>
          <w:szCs w:val="28"/>
        </w:rPr>
        <w:t>cursos</w:t>
      </w:r>
      <w:r w:rsidR="00DD2A86">
        <w:rPr>
          <w:rFonts w:ascii="Arial" w:hAnsi="Arial" w:cs="Arial"/>
          <w:sz w:val="28"/>
          <w:szCs w:val="28"/>
        </w:rPr>
        <w:t xml:space="preserve"> realizados</w:t>
      </w:r>
      <w:r w:rsidR="00B540BD">
        <w:rPr>
          <w:rFonts w:ascii="Arial" w:hAnsi="Arial" w:cs="Arial"/>
          <w:sz w:val="28"/>
          <w:szCs w:val="28"/>
        </w:rPr>
        <w:t xml:space="preserve"> pelo CRCMG</w:t>
      </w:r>
      <w:r>
        <w:rPr>
          <w:rFonts w:ascii="Arial" w:hAnsi="Arial" w:cs="Arial"/>
          <w:sz w:val="28"/>
          <w:szCs w:val="28"/>
        </w:rPr>
        <w:t>.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18DD9F09" w:rsidR="00161511" w:rsidRDefault="00161511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Foco no que </w:t>
      </w:r>
      <w:r w:rsidR="00F50523">
        <w:rPr>
          <w:rFonts w:ascii="Arial" w:hAnsi="Arial" w:cs="Arial"/>
          <w:color w:val="FF0000"/>
          <w:sz w:val="28"/>
          <w:szCs w:val="28"/>
        </w:rPr>
        <w:t>c</w:t>
      </w:r>
      <w:r>
        <w:rPr>
          <w:rFonts w:ascii="Arial" w:hAnsi="Arial" w:cs="Arial"/>
          <w:color w:val="FF0000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2290B17E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E15790">
      <w:rPr>
        <w:rFonts w:ascii="Arial" w:hAnsi="Arial" w:cs="Arial"/>
        <w:sz w:val="28"/>
        <w:szCs w:val="28"/>
        <w:lang w:val="pt-BR"/>
      </w:rPr>
      <w:t>14</w:t>
    </w:r>
    <w:r w:rsidR="000C5F21">
      <w:rPr>
        <w:rFonts w:ascii="Arial" w:hAnsi="Arial" w:cs="Arial"/>
        <w:sz w:val="28"/>
        <w:szCs w:val="28"/>
        <w:lang w:val="pt-BR"/>
      </w:rPr>
      <w:t xml:space="preserve"> a 1</w:t>
    </w:r>
    <w:r w:rsidR="00E15790">
      <w:rPr>
        <w:rFonts w:ascii="Arial" w:hAnsi="Arial" w:cs="Arial"/>
        <w:sz w:val="28"/>
        <w:szCs w:val="28"/>
        <w:lang w:val="pt-BR"/>
      </w:rPr>
      <w:t>8</w:t>
    </w:r>
    <w:r w:rsidR="00082B53">
      <w:rPr>
        <w:rFonts w:ascii="Arial" w:hAnsi="Arial" w:cs="Arial"/>
        <w:sz w:val="28"/>
        <w:szCs w:val="28"/>
        <w:lang w:val="pt-BR"/>
      </w:rPr>
      <w:t xml:space="preserve"> de março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79E6"/>
    <w:rsid w:val="001118FE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2586D"/>
    <w:rsid w:val="00234540"/>
    <w:rsid w:val="00234C75"/>
    <w:rsid w:val="00235978"/>
    <w:rsid w:val="002423CA"/>
    <w:rsid w:val="00242727"/>
    <w:rsid w:val="00244439"/>
    <w:rsid w:val="00245DD4"/>
    <w:rsid w:val="00247179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ADD"/>
    <w:rsid w:val="003410ED"/>
    <w:rsid w:val="003416DC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4A11"/>
    <w:rsid w:val="005F6A6B"/>
    <w:rsid w:val="00610F8E"/>
    <w:rsid w:val="006130D4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A430E"/>
    <w:rsid w:val="007B0923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168BA"/>
    <w:rsid w:val="009201CC"/>
    <w:rsid w:val="00922B60"/>
    <w:rsid w:val="009357E6"/>
    <w:rsid w:val="00950B97"/>
    <w:rsid w:val="00952A60"/>
    <w:rsid w:val="0095720F"/>
    <w:rsid w:val="00957B60"/>
    <w:rsid w:val="00964863"/>
    <w:rsid w:val="009659E4"/>
    <w:rsid w:val="009718FB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0BD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245C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4C13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539F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1105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92"/>
    <w:rsid w:val="00DA3EC5"/>
    <w:rsid w:val="00DB2478"/>
    <w:rsid w:val="00DB2EBB"/>
    <w:rsid w:val="00DB6F0C"/>
    <w:rsid w:val="00DD2A86"/>
    <w:rsid w:val="00DE0395"/>
    <w:rsid w:val="00DE7199"/>
    <w:rsid w:val="00DE7F93"/>
    <w:rsid w:val="00DF1508"/>
    <w:rsid w:val="00DF158E"/>
    <w:rsid w:val="00DF2B6D"/>
    <w:rsid w:val="00DF47F2"/>
    <w:rsid w:val="00DF56F8"/>
    <w:rsid w:val="00DF5FF5"/>
    <w:rsid w:val="00E15452"/>
    <w:rsid w:val="00E15790"/>
    <w:rsid w:val="00E22E59"/>
    <w:rsid w:val="00E24A48"/>
    <w:rsid w:val="00E25B9B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0523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2C1E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337ADD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37A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/informati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27</cp:revision>
  <dcterms:created xsi:type="dcterms:W3CDTF">2022-02-08T12:30:00Z</dcterms:created>
  <dcterms:modified xsi:type="dcterms:W3CDTF">2022-03-04T13:01:00Z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