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B564" w14:textId="534668E3" w:rsidR="00640425" w:rsidRPr="00905FC9" w:rsidRDefault="00AD2874" w:rsidP="00905FC9">
      <w:pPr>
        <w:shd w:val="clear" w:color="auto" w:fill="FFFFFF"/>
        <w:spacing w:before="300" w:after="75" w:line="360" w:lineRule="auto"/>
        <w:jc w:val="center"/>
        <w:outlineLvl w:val="2"/>
        <w:rPr>
          <w:rFonts w:ascii="Arial" w:eastAsia="Times New Roman" w:hAnsi="Arial" w:cs="Arial"/>
          <w:color w:val="22303E"/>
          <w:sz w:val="40"/>
          <w:szCs w:val="36"/>
          <w:lang w:eastAsia="pt-BR"/>
        </w:rPr>
      </w:pPr>
      <w:r>
        <w:rPr>
          <w:rFonts w:ascii="Arial" w:eastAsia="Times New Roman" w:hAnsi="Arial" w:cs="Arial"/>
          <w:color w:val="22303E"/>
          <w:sz w:val="40"/>
          <w:szCs w:val="36"/>
          <w:lang w:eastAsia="pt-BR"/>
        </w:rPr>
        <w:t>Atividades Imobiliárias com foco no planejamento tributário</w:t>
      </w:r>
    </w:p>
    <w:p w14:paraId="20B27ED1" w14:textId="77777777" w:rsidR="00905FC9" w:rsidRPr="00905FC9" w:rsidRDefault="00905FC9" w:rsidP="00905FC9">
      <w:p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8"/>
          <w:szCs w:val="36"/>
          <w:lang w:eastAsia="pt-BR"/>
        </w:rPr>
      </w:pPr>
      <w:r w:rsidRPr="00905FC9">
        <w:rPr>
          <w:rFonts w:ascii="Arial" w:eastAsia="Times New Roman" w:hAnsi="Arial" w:cs="Arial"/>
          <w:color w:val="22303E"/>
          <w:sz w:val="28"/>
          <w:szCs w:val="36"/>
          <w:lang w:eastAsia="pt-BR"/>
        </w:rPr>
        <w:t>I – Conteúdo programático</w:t>
      </w:r>
    </w:p>
    <w:p w14:paraId="187DEC93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Conceitos gerais sobre construtora e incorporadora</w:t>
      </w:r>
    </w:p>
    <w:p w14:paraId="31E98C3C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Patrimônio de Afetação</w:t>
      </w:r>
    </w:p>
    <w:p w14:paraId="3E29E360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Regimes tributários: SIMPLES, Lucro Presumido, Lucro Real e RET</w:t>
      </w:r>
    </w:p>
    <w:p w14:paraId="68049FC8" w14:textId="723F350C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Considerações específicas do setor</w:t>
      </w:r>
      <w:r w:rsidR="00AD2874">
        <w:rPr>
          <w:rFonts w:ascii="Arial" w:eastAsia="Times New Roman" w:hAnsi="Arial" w:cs="Arial"/>
          <w:color w:val="22303E"/>
          <w:sz w:val="24"/>
          <w:szCs w:val="24"/>
          <w:lang w:eastAsia="pt-BR"/>
        </w:rPr>
        <w:t xml:space="preserve"> sobre a tributação e obrigações</w:t>
      </w:r>
    </w:p>
    <w:p w14:paraId="1472A78E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Retenção de INSS</w:t>
      </w:r>
    </w:p>
    <w:p w14:paraId="0D92BBA5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CNO - CEI</w:t>
      </w:r>
    </w:p>
    <w:p w14:paraId="5135603D" w14:textId="77777777" w:rsidR="00BB2BED" w:rsidRPr="00BB2BED" w:rsidRDefault="00BB2BED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 w:rsidRPr="00BB2BED">
        <w:rPr>
          <w:rFonts w:ascii="Arial" w:eastAsia="Times New Roman" w:hAnsi="Arial" w:cs="Arial"/>
          <w:color w:val="22303E"/>
          <w:sz w:val="24"/>
          <w:szCs w:val="24"/>
          <w:lang w:eastAsia="pt-BR"/>
        </w:rPr>
        <w:t>DIMOB</w:t>
      </w:r>
    </w:p>
    <w:p w14:paraId="725F1301" w14:textId="3D91D8E5" w:rsidR="00DC22FD" w:rsidRDefault="00AD2874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303E"/>
          <w:sz w:val="24"/>
          <w:szCs w:val="24"/>
          <w:lang w:eastAsia="pt-BR"/>
        </w:rPr>
        <w:t>CIB – Cadastro Imobiliário Brasileiro</w:t>
      </w:r>
    </w:p>
    <w:p w14:paraId="1F3AA608" w14:textId="77B853A0" w:rsidR="00AD2874" w:rsidRPr="00905FC9" w:rsidRDefault="00AD2874" w:rsidP="00BB2BED">
      <w:pPr>
        <w:numPr>
          <w:ilvl w:val="0"/>
          <w:numId w:val="4"/>
        </w:numPr>
        <w:shd w:val="clear" w:color="auto" w:fill="FFFFFF"/>
        <w:spacing w:before="300" w:after="75" w:line="360" w:lineRule="auto"/>
        <w:outlineLvl w:val="2"/>
        <w:rPr>
          <w:rFonts w:ascii="Arial" w:eastAsia="Times New Roman" w:hAnsi="Arial" w:cs="Arial"/>
          <w:color w:val="22303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303E"/>
          <w:sz w:val="24"/>
          <w:szCs w:val="24"/>
          <w:lang w:eastAsia="pt-BR"/>
        </w:rPr>
        <w:t>Reforma tributária</w:t>
      </w:r>
    </w:p>
    <w:sectPr w:rsidR="00AD2874" w:rsidRPr="00905FC9" w:rsidSect="00034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2717"/>
    <w:multiLevelType w:val="hybridMultilevel"/>
    <w:tmpl w:val="558AF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09F"/>
    <w:multiLevelType w:val="hybridMultilevel"/>
    <w:tmpl w:val="F1CE1F5A"/>
    <w:lvl w:ilvl="0" w:tplc="3C6C8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D458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F49C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3A76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50FD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4A29D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EA7A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580F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E468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55554"/>
    <w:multiLevelType w:val="hybridMultilevel"/>
    <w:tmpl w:val="7C205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F5494"/>
    <w:multiLevelType w:val="hybridMultilevel"/>
    <w:tmpl w:val="141A9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7283">
    <w:abstractNumId w:val="3"/>
  </w:num>
  <w:num w:numId="2" w16cid:durableId="1966498782">
    <w:abstractNumId w:val="0"/>
  </w:num>
  <w:num w:numId="3" w16cid:durableId="350373151">
    <w:abstractNumId w:val="2"/>
  </w:num>
  <w:num w:numId="4" w16cid:durableId="158159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25"/>
    <w:rsid w:val="00034903"/>
    <w:rsid w:val="000F75AC"/>
    <w:rsid w:val="001122DE"/>
    <w:rsid w:val="002540CF"/>
    <w:rsid w:val="00640425"/>
    <w:rsid w:val="007122DF"/>
    <w:rsid w:val="00905FC9"/>
    <w:rsid w:val="00AD2874"/>
    <w:rsid w:val="00BA5BBF"/>
    <w:rsid w:val="00BB2BED"/>
    <w:rsid w:val="00BC6903"/>
    <w:rsid w:val="00BF2DFF"/>
    <w:rsid w:val="00C95050"/>
    <w:rsid w:val="00CD3E8C"/>
    <w:rsid w:val="00D765EF"/>
    <w:rsid w:val="00DC22FD"/>
    <w:rsid w:val="00F4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89D3"/>
  <w15:docId w15:val="{EA80237B-5937-47F0-9D85-818C928A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0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40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404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0425"/>
  </w:style>
  <w:style w:type="character" w:styleId="Hyperlink">
    <w:name w:val="Hyperlink"/>
    <w:basedOn w:val="Fontepargpadro"/>
    <w:uiPriority w:val="99"/>
    <w:semiHidden/>
    <w:unhideWhenUsed/>
    <w:rsid w:val="0064042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FC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DC22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8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0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12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95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01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83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96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96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0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3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paulocesar</dc:creator>
  <cp:lastModifiedBy>Gleice Regina Gonçalves</cp:lastModifiedBy>
  <cp:revision>2</cp:revision>
  <dcterms:created xsi:type="dcterms:W3CDTF">2025-11-19T11:22:00Z</dcterms:created>
  <dcterms:modified xsi:type="dcterms:W3CDTF">2025-11-19T11:22:00Z</dcterms:modified>
</cp:coreProperties>
</file>